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A7DC" w14:textId="77777777" w:rsidR="00370A1C" w:rsidRDefault="003C0FED" w:rsidP="00370A1C">
      <w:pPr>
        <w:pStyle w:val="TextoNormal"/>
        <w:pBdr>
          <w:bottom w:val="single" w:sz="4" w:space="1" w:color="auto"/>
        </w:pBdr>
        <w:tabs>
          <w:tab w:val="left" w:pos="1014"/>
        </w:tabs>
        <w:spacing w:line="240" w:lineRule="auto"/>
        <w:ind w:right="-1"/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 xml:space="preserve"> </w:t>
      </w:r>
      <w:r w:rsidR="00370A1C">
        <w:rPr>
          <w:b/>
          <w:bCs w:val="0"/>
          <w:sz w:val="22"/>
          <w:szCs w:val="22"/>
        </w:rPr>
        <w:t xml:space="preserve">PROCESO SELECTIVO PARA EL INGRESO, POR EL SISTEMA GENERAL DE </w:t>
      </w:r>
    </w:p>
    <w:p w14:paraId="546E9CFB" w14:textId="77777777" w:rsidR="00370A1C" w:rsidRDefault="00370A1C" w:rsidP="00370A1C">
      <w:pPr>
        <w:pStyle w:val="TextoNormal"/>
        <w:pBdr>
          <w:bottom w:val="single" w:sz="4" w:space="1" w:color="auto"/>
        </w:pBdr>
        <w:tabs>
          <w:tab w:val="left" w:pos="1014"/>
        </w:tabs>
        <w:spacing w:after="120" w:line="240" w:lineRule="auto"/>
        <w:ind w:right="-1"/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ACCESO LIBRE Y POR PROMOCIÓN INTERNA, EN EL CUERPO SUPERIOR DE AUDITORES DEL TRIBUNAL DE CUENTAS</w:t>
      </w:r>
    </w:p>
    <w:p w14:paraId="32891EE7" w14:textId="7DBC66AB" w:rsidR="00370A1C" w:rsidRDefault="00370A1C" w:rsidP="00370A1C">
      <w:pPr>
        <w:pStyle w:val="TextoNormal"/>
        <w:pBdr>
          <w:bottom w:val="single" w:sz="4" w:space="1" w:color="auto"/>
        </w:pBdr>
        <w:tabs>
          <w:tab w:val="left" w:pos="1014"/>
        </w:tabs>
        <w:spacing w:line="240" w:lineRule="auto"/>
        <w:ind w:right="-1"/>
        <w:jc w:val="center"/>
        <w:rPr>
          <w:i/>
          <w:iCs/>
        </w:rPr>
      </w:pPr>
      <w:bookmarkStart w:id="0" w:name="_Hlk160448016"/>
      <w:r>
        <w:rPr>
          <w:i/>
          <w:iCs/>
        </w:rPr>
        <w:t xml:space="preserve">Resolución de </w:t>
      </w:r>
      <w:r w:rsidR="00174D85">
        <w:rPr>
          <w:i/>
          <w:iCs/>
        </w:rPr>
        <w:t>12 de diciembre de 2023</w:t>
      </w:r>
      <w:bookmarkEnd w:id="0"/>
      <w:r>
        <w:rPr>
          <w:i/>
          <w:iCs/>
        </w:rPr>
        <w:t>, de la Presidencia del Tribunal de Cuentas</w:t>
      </w:r>
    </w:p>
    <w:p w14:paraId="517355F7" w14:textId="35637CAE" w:rsidR="00370A1C" w:rsidRDefault="00370A1C" w:rsidP="00370A1C">
      <w:pPr>
        <w:pStyle w:val="TextoNormal"/>
        <w:pBdr>
          <w:bottom w:val="single" w:sz="4" w:space="1" w:color="auto"/>
        </w:pBdr>
        <w:tabs>
          <w:tab w:val="left" w:pos="1014"/>
        </w:tabs>
        <w:spacing w:line="240" w:lineRule="auto"/>
        <w:ind w:right="-1"/>
        <w:jc w:val="center"/>
        <w:rPr>
          <w:i/>
          <w:iCs/>
        </w:rPr>
      </w:pPr>
      <w:r>
        <w:rPr>
          <w:i/>
          <w:iCs/>
        </w:rPr>
        <w:t xml:space="preserve">(BOE núm. </w:t>
      </w:r>
      <w:r w:rsidR="00174D85">
        <w:rPr>
          <w:i/>
          <w:iCs/>
        </w:rPr>
        <w:t>302</w:t>
      </w:r>
      <w:r>
        <w:rPr>
          <w:i/>
          <w:iCs/>
        </w:rPr>
        <w:t>, de 1</w:t>
      </w:r>
      <w:r w:rsidR="00174D85">
        <w:rPr>
          <w:i/>
          <w:iCs/>
        </w:rPr>
        <w:t>9</w:t>
      </w:r>
      <w:r>
        <w:rPr>
          <w:i/>
          <w:iCs/>
        </w:rPr>
        <w:t xml:space="preserve"> de diciembre de 202</w:t>
      </w:r>
      <w:r w:rsidR="00174D85">
        <w:rPr>
          <w:i/>
          <w:iCs/>
        </w:rPr>
        <w:t>3</w:t>
      </w:r>
      <w:r>
        <w:rPr>
          <w:i/>
          <w:iCs/>
        </w:rPr>
        <w:t>)</w:t>
      </w:r>
    </w:p>
    <w:p w14:paraId="50B5BA99" w14:textId="77777777" w:rsidR="00F54CE2" w:rsidRDefault="00F54CE2" w:rsidP="00F06DCD">
      <w:pPr>
        <w:spacing w:after="120"/>
        <w:jc w:val="center"/>
        <w:rPr>
          <w:rFonts w:ascii="Arial" w:hAnsi="Arial" w:cs="Arial"/>
          <w:b/>
          <w:bCs/>
          <w:u w:val="thick"/>
        </w:rPr>
      </w:pPr>
    </w:p>
    <w:p w14:paraId="29EDFC3C" w14:textId="77777777" w:rsidR="00ED6446" w:rsidRDefault="00ED6446" w:rsidP="00ED6446">
      <w:pPr>
        <w:ind w:left="720" w:hanging="360"/>
        <w:jc w:val="center"/>
        <w:rPr>
          <w:b/>
          <w:bCs/>
          <w:i/>
          <w:iCs/>
          <w:u w:val="single"/>
        </w:rPr>
      </w:pPr>
      <w:r w:rsidRPr="001A3EA2">
        <w:rPr>
          <w:b/>
          <w:bCs/>
          <w:i/>
          <w:iCs/>
          <w:u w:val="single"/>
        </w:rPr>
        <w:t xml:space="preserve">BLOQUE </w:t>
      </w:r>
      <w:r>
        <w:rPr>
          <w:b/>
          <w:bCs/>
          <w:i/>
          <w:iCs/>
          <w:u w:val="single"/>
        </w:rPr>
        <w:t>1: DERECHO CIVIL Y MERCANTIL</w:t>
      </w:r>
    </w:p>
    <w:p w14:paraId="29F2400C" w14:textId="77777777" w:rsidR="00ED6446" w:rsidRDefault="00ED6446" w:rsidP="00ED6446">
      <w:pPr>
        <w:ind w:left="720" w:hanging="360"/>
        <w:jc w:val="center"/>
        <w:rPr>
          <w:b/>
          <w:bCs/>
          <w:i/>
          <w:iCs/>
          <w:u w:val="single"/>
        </w:rPr>
      </w:pPr>
    </w:p>
    <w:p w14:paraId="4D8FD351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Eficacia general y límites en el tiempo y en el espacio de las normas jurídicas. (Tema 1)</w:t>
      </w:r>
    </w:p>
    <w:p w14:paraId="21AAA4CB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Regímenes económicos del matrimonio.  (Tema 2)</w:t>
      </w:r>
    </w:p>
    <w:p w14:paraId="2A80B579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Los derechos reales. Concepto y enumeración. (Tema 4).</w:t>
      </w:r>
    </w:p>
    <w:p w14:paraId="26BE9F80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El usufructo. Concepto, elementos, contenido y extinción. (Tema 5).</w:t>
      </w:r>
    </w:p>
    <w:p w14:paraId="79F9C258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Prueba de las obligaciones. (Tema 6)</w:t>
      </w:r>
    </w:p>
    <w:p w14:paraId="7DA1A9CB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Ineficacia de los contratos. La nulidad, anulabilidad y la rescisión de los contratos. (Tema 7)</w:t>
      </w:r>
    </w:p>
    <w:p w14:paraId="3DFBCC74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Contrato de compraventa. Concepto y obligaciones del comprador y del vendedor. (Tema 8)</w:t>
      </w:r>
    </w:p>
    <w:p w14:paraId="7FDF53C8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El testamento. Clases. (Tema 9)</w:t>
      </w:r>
    </w:p>
    <w:p w14:paraId="359E1119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 xml:space="preserve">La prescripción adquisitiva (Tema 10). </w:t>
      </w:r>
    </w:p>
    <w:p w14:paraId="0C02C639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Las sanciones en materia contable (Tema 12)</w:t>
      </w:r>
    </w:p>
    <w:p w14:paraId="617B3FE3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Las sociedades mercantiles. Concepto y clases de sociedades mercantiles reconocidas en nuestro derecho. (Tema 13)</w:t>
      </w:r>
    </w:p>
    <w:p w14:paraId="504ED6BC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Emisión de obligaciones. (Tema 15)</w:t>
      </w:r>
    </w:p>
    <w:p w14:paraId="7B90BA04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El proceso extintivo de las sociedades mercantiles. Causas de disolución. (Tema 19)</w:t>
      </w:r>
    </w:p>
    <w:p w14:paraId="7A3D35D8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Las causas de conclusión del concurso y su reapertura: efectos. (Tema 22)</w:t>
      </w:r>
    </w:p>
    <w:p w14:paraId="19478C31" w14:textId="77777777" w:rsidR="00ED6446" w:rsidRPr="00ED6446" w:rsidRDefault="00ED6446" w:rsidP="00ED6446">
      <w:pPr>
        <w:pStyle w:val="Prrafodelista"/>
        <w:widowControl/>
        <w:numPr>
          <w:ilvl w:val="0"/>
          <w:numId w:val="6"/>
        </w:numPr>
        <w:autoSpaceDE/>
        <w:autoSpaceDN/>
        <w:spacing w:after="160" w:line="259" w:lineRule="auto"/>
        <w:ind w:right="0"/>
        <w:contextualSpacing/>
        <w:jc w:val="both"/>
        <w:rPr>
          <w:u w:val="none"/>
        </w:rPr>
      </w:pPr>
      <w:r w:rsidRPr="00ED6446">
        <w:rPr>
          <w:u w:val="none"/>
        </w:rPr>
        <w:t>Los títulos valores. Concepto y clasificación. (Tema 23)</w:t>
      </w:r>
    </w:p>
    <w:p w14:paraId="68D9FCDB" w14:textId="77777777" w:rsidR="00ED6446" w:rsidRPr="00ED6446" w:rsidRDefault="00ED6446" w:rsidP="00ED6446">
      <w:pPr>
        <w:rPr>
          <w:b/>
          <w:bCs/>
          <w:i/>
          <w:iCs/>
        </w:rPr>
      </w:pPr>
    </w:p>
    <w:p w14:paraId="0DC63B39" w14:textId="77777777" w:rsidR="00ED6446" w:rsidRPr="00ED6446" w:rsidRDefault="00ED6446" w:rsidP="00ED6446">
      <w:pPr>
        <w:ind w:left="720" w:hanging="360"/>
        <w:jc w:val="center"/>
        <w:rPr>
          <w:b/>
          <w:bCs/>
          <w:i/>
          <w:iCs/>
        </w:rPr>
      </w:pPr>
      <w:r w:rsidRPr="00ED6446">
        <w:rPr>
          <w:b/>
          <w:bCs/>
          <w:i/>
          <w:iCs/>
        </w:rPr>
        <w:t>BLOQUE 2: ECONOMÍA GENERAL Y DE LA EMPRESA</w:t>
      </w:r>
    </w:p>
    <w:p w14:paraId="08DAAF22" w14:textId="77777777" w:rsidR="00ED6446" w:rsidRPr="00ED6446" w:rsidRDefault="00ED6446" w:rsidP="00ED6446"/>
    <w:p w14:paraId="487D7262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La política agraria de la Unión Europea y España en las últimas dos décadas. (Tema 2)</w:t>
      </w:r>
    </w:p>
    <w:p w14:paraId="0F99FAF0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color w:val="000000" w:themeColor="text1"/>
          <w:u w:val="none"/>
        </w:rPr>
      </w:pPr>
      <w:r w:rsidRPr="00ED6446">
        <w:rPr>
          <w:color w:val="000000" w:themeColor="text1"/>
          <w:u w:val="none"/>
        </w:rPr>
        <w:t>La infraestructura del transporte y las redes transeuropeas. (Tema 4).</w:t>
      </w:r>
    </w:p>
    <w:p w14:paraId="213C7ACB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La balanza de pagos. Concepto y componentes. (Tema 5)</w:t>
      </w:r>
    </w:p>
    <w:p w14:paraId="283F7AAA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Instituciones económicas internacionales: Fondo Monetario Internacional y el Banco Mundial. (Tema 6)</w:t>
      </w:r>
    </w:p>
    <w:p w14:paraId="26519916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lastRenderedPageBreak/>
        <w:t>Análisis de las principales fuentes estadísticas españolas. (Tema 7).</w:t>
      </w:r>
    </w:p>
    <w:p w14:paraId="236AA5DA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Producto nacional: concepto. Producto nacional bruto y neto (Tema 9)</w:t>
      </w:r>
    </w:p>
    <w:p w14:paraId="4D697343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El equilibrio monetario según el modelo clásico (Tema 10)</w:t>
      </w:r>
    </w:p>
    <w:p w14:paraId="6177ADBA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Retardo y coordinación (Tema 12)</w:t>
      </w:r>
    </w:p>
    <w:p w14:paraId="475090FC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Efectos de la inflación (Tema 13)</w:t>
      </w:r>
    </w:p>
    <w:p w14:paraId="78D6FA45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Bienes públicos y externalidades (Tema 14)</w:t>
      </w:r>
    </w:p>
    <w:p w14:paraId="6A4C2A64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Sistemas de control en la empresa. Concepto y elementos. (Tema 17)</w:t>
      </w:r>
    </w:p>
    <w:p w14:paraId="07032BF4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Método de la tasa de retorno. (Tema 19).</w:t>
      </w:r>
    </w:p>
    <w:p w14:paraId="1FB9D927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  <w:lang w:val="en-US"/>
        </w:rPr>
      </w:pPr>
      <w:r w:rsidRPr="00ED6446">
        <w:rPr>
          <w:u w:val="none"/>
        </w:rPr>
        <w:t xml:space="preserve">La valoración externa de la empresa. </w:t>
      </w:r>
      <w:r w:rsidRPr="00ED6446">
        <w:rPr>
          <w:u w:val="none"/>
          <w:lang w:val="en-US"/>
        </w:rPr>
        <w:t>(Tema 21).</w:t>
      </w:r>
    </w:p>
    <w:p w14:paraId="37CC78C5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El Sistema de control de la empresa pública. Métodos de control. (Tema 23).</w:t>
      </w:r>
    </w:p>
    <w:p w14:paraId="3A4201F9" w14:textId="77777777" w:rsidR="00ED6446" w:rsidRPr="00ED6446" w:rsidRDefault="00ED6446" w:rsidP="00ED6446">
      <w:pPr>
        <w:pStyle w:val="Prrafodelista"/>
        <w:widowControl/>
        <w:numPr>
          <w:ilvl w:val="0"/>
          <w:numId w:val="5"/>
        </w:numPr>
        <w:autoSpaceDE/>
        <w:autoSpaceDN/>
        <w:spacing w:after="160" w:line="259" w:lineRule="auto"/>
        <w:ind w:right="0"/>
        <w:contextualSpacing/>
        <w:rPr>
          <w:u w:val="none"/>
        </w:rPr>
      </w:pPr>
      <w:r w:rsidRPr="00ED6446">
        <w:rPr>
          <w:u w:val="none"/>
        </w:rPr>
        <w:t>La financiación de la empresa pública (Tema 23).</w:t>
      </w:r>
    </w:p>
    <w:p w14:paraId="73DF0CC6" w14:textId="4BF5A5FF" w:rsidR="007E6335" w:rsidRPr="00CC1C3D" w:rsidRDefault="007E6335" w:rsidP="00CC1C3D">
      <w:pPr>
        <w:jc w:val="both"/>
        <w:rPr>
          <w:rFonts w:ascii="Arial" w:hAnsi="Arial" w:cs="Arial"/>
        </w:rPr>
      </w:pPr>
    </w:p>
    <w:sectPr w:rsidR="007E6335" w:rsidRPr="00CC1C3D" w:rsidSect="00B743F4">
      <w:headerReference w:type="default" r:id="rId8"/>
      <w:footerReference w:type="default" r:id="rId9"/>
      <w:pgSz w:w="11906" w:h="16838"/>
      <w:pgMar w:top="2552" w:right="1701" w:bottom="1417" w:left="1701" w:header="737" w:footer="21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E9CA" w14:textId="77777777" w:rsidR="0016781C" w:rsidRDefault="0016781C" w:rsidP="00C17E1E">
      <w:pPr>
        <w:spacing w:after="0" w:line="240" w:lineRule="auto"/>
      </w:pPr>
      <w:r>
        <w:separator/>
      </w:r>
    </w:p>
  </w:endnote>
  <w:endnote w:type="continuationSeparator" w:id="0">
    <w:p w14:paraId="3A74DE47" w14:textId="77777777" w:rsidR="0016781C" w:rsidRDefault="0016781C" w:rsidP="00C1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(Cuerpo en alfa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734A" w14:textId="03887041" w:rsidR="00D96636" w:rsidRDefault="00D96636" w:rsidP="003556C6">
    <w:pPr>
      <w:tabs>
        <w:tab w:val="left" w:pos="7513"/>
      </w:tabs>
      <w:spacing w:after="0"/>
      <w:ind w:lef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3B9B" w14:textId="77777777" w:rsidR="0016781C" w:rsidRDefault="0016781C" w:rsidP="00C17E1E">
      <w:pPr>
        <w:spacing w:after="0" w:line="240" w:lineRule="auto"/>
      </w:pPr>
      <w:r>
        <w:separator/>
      </w:r>
    </w:p>
  </w:footnote>
  <w:footnote w:type="continuationSeparator" w:id="0">
    <w:p w14:paraId="18A13458" w14:textId="77777777" w:rsidR="0016781C" w:rsidRDefault="0016781C" w:rsidP="00C17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206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74"/>
    </w:tblGrid>
    <w:tr w:rsidR="00673347" w:rsidRPr="00673347" w14:paraId="48DCD26A" w14:textId="77777777" w:rsidTr="003B550F">
      <w:trPr>
        <w:trHeight w:val="227"/>
      </w:trPr>
      <w:tc>
        <w:tcPr>
          <w:tcW w:w="3474" w:type="dxa"/>
        </w:tcPr>
        <w:p w14:paraId="67B5E9F2" w14:textId="77777777" w:rsidR="00673347" w:rsidRPr="00673347" w:rsidRDefault="00F54CE2" w:rsidP="00673347">
          <w:pPr>
            <w:tabs>
              <w:tab w:val="left" w:pos="-720"/>
            </w:tabs>
            <w:suppressAutoHyphens/>
            <w:spacing w:after="54" w:line="240" w:lineRule="auto"/>
            <w:jc w:val="center"/>
            <w:rPr>
              <w:rFonts w:ascii="Courier New" w:eastAsia="Times New Roman" w:hAnsi="Courier New" w:cs="Arial"/>
              <w:spacing w:val="-3"/>
              <w:sz w:val="20"/>
              <w:szCs w:val="20"/>
              <w:lang w:val="en-US" w:eastAsia="es-E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6E72DE4" wp14:editId="5DD857F9">
                <wp:simplePos x="0" y="0"/>
                <wp:positionH relativeFrom="page">
                  <wp:posOffset>461010</wp:posOffset>
                </wp:positionH>
                <wp:positionV relativeFrom="page">
                  <wp:posOffset>0</wp:posOffset>
                </wp:positionV>
                <wp:extent cx="1799590" cy="495341"/>
                <wp:effectExtent l="0" t="0" r="3810" b="0"/>
                <wp:wrapNone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9590" cy="4953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73347" w:rsidRPr="00673347" w14:paraId="216D668F" w14:textId="77777777" w:rsidTr="003B550F">
      <w:trPr>
        <w:trHeight w:val="20"/>
      </w:trPr>
      <w:tc>
        <w:tcPr>
          <w:tcW w:w="3474" w:type="dxa"/>
        </w:tcPr>
        <w:p w14:paraId="5A80FCC1" w14:textId="77777777" w:rsidR="00673347" w:rsidRPr="00673347" w:rsidRDefault="00673347" w:rsidP="00673347">
          <w:pPr>
            <w:tabs>
              <w:tab w:val="left" w:pos="-720"/>
            </w:tabs>
            <w:suppressAutoHyphens/>
            <w:spacing w:before="40" w:after="54" w:line="240" w:lineRule="auto"/>
            <w:jc w:val="center"/>
            <w:rPr>
              <w:rFonts w:ascii="Arial" w:eastAsia="Times New Roman" w:hAnsi="Arial" w:cs="Arial"/>
              <w:spacing w:val="40"/>
              <w:sz w:val="12"/>
              <w:szCs w:val="12"/>
              <w:lang w:val="es-ES_tradnl" w:eastAsia="es-ES"/>
            </w:rPr>
          </w:pPr>
        </w:p>
      </w:tc>
    </w:tr>
  </w:tbl>
  <w:p w14:paraId="7D044BBF" w14:textId="77777777" w:rsidR="002B1FF1" w:rsidRDefault="00F54CE2" w:rsidP="00673347">
    <w:pPr>
      <w:pStyle w:val="Encabezado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B3C49F" wp14:editId="3E8AE772">
              <wp:simplePos x="0" y="0"/>
              <wp:positionH relativeFrom="page">
                <wp:posOffset>438785</wp:posOffset>
              </wp:positionH>
              <wp:positionV relativeFrom="page">
                <wp:posOffset>1085850</wp:posOffset>
              </wp:positionV>
              <wp:extent cx="2617804" cy="378000"/>
              <wp:effectExtent l="0" t="0" r="0" b="3175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7804" cy="37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DDD887" w14:textId="77777777" w:rsidR="00F54CE2" w:rsidRDefault="00F54CE2" w:rsidP="00F54CE2">
                          <w:pPr>
                            <w:pStyle w:val="NombreDepartamento"/>
                            <w:spacing w:line="276" w:lineRule="auto"/>
                          </w:pPr>
                          <w:r>
                            <w:t>Tribunal calificador de las pruebas selectivas</w:t>
                          </w:r>
                        </w:p>
                        <w:p w14:paraId="66C8A442" w14:textId="77777777" w:rsidR="00F54CE2" w:rsidRDefault="00F54CE2" w:rsidP="00F54CE2">
                          <w:pPr>
                            <w:pStyle w:val="NombreDepartamento"/>
                            <w:spacing w:line="276" w:lineRule="auto"/>
                          </w:pPr>
                          <w:r>
                            <w:t>para el ingreso en el Cuerpo Superior de</w:t>
                          </w:r>
                        </w:p>
                        <w:p w14:paraId="3A526380" w14:textId="77777777" w:rsidR="00F54CE2" w:rsidRPr="00A53731" w:rsidRDefault="00F54CE2" w:rsidP="00F54CE2">
                          <w:pPr>
                            <w:pStyle w:val="NombreDepartamento"/>
                            <w:spacing w:line="276" w:lineRule="auto"/>
                          </w:pPr>
                          <w:r>
                            <w:t>Auditores del Tribunal de Cuentas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B3C49F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34.55pt;margin-top:85.5pt;width:206.15pt;height:2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" fillcolor="white [3201]" stroked="f" strokeweight=".5pt">
              <v:textbox inset="0,0,0,0">
                <w:txbxContent>
                  <w:p w14:paraId="71DDD887" w14:textId="77777777" w:rsidR="00F54CE2" w:rsidRDefault="00F54CE2" w:rsidP="00F54CE2">
                    <w:pPr>
                      <w:pStyle w:val="NombreDepartamento"/>
                      <w:spacing w:line="276" w:lineRule="auto"/>
                    </w:pPr>
                    <w:r>
                      <w:t>Tribunal calificador de las pruebas selectivas</w:t>
                    </w:r>
                  </w:p>
                  <w:p w14:paraId="66C8A442" w14:textId="77777777" w:rsidR="00F54CE2" w:rsidRDefault="00F54CE2" w:rsidP="00F54CE2">
                    <w:pPr>
                      <w:pStyle w:val="NombreDepartamento"/>
                      <w:spacing w:line="276" w:lineRule="auto"/>
                    </w:pPr>
                    <w:r>
                      <w:t>para el ingreso en el Cuerpo Superior de</w:t>
                    </w:r>
                  </w:p>
                  <w:p w14:paraId="3A526380" w14:textId="77777777" w:rsidR="00F54CE2" w:rsidRPr="00A53731" w:rsidRDefault="00F54CE2" w:rsidP="00F54CE2">
                    <w:pPr>
                      <w:pStyle w:val="NombreDepartamento"/>
                      <w:spacing w:line="276" w:lineRule="auto"/>
                    </w:pPr>
                    <w:r>
                      <w:t>Auditores del Tribunal de Cuentas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D53D7"/>
    <w:multiLevelType w:val="hybridMultilevel"/>
    <w:tmpl w:val="E6F86C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37F8D"/>
    <w:multiLevelType w:val="hybridMultilevel"/>
    <w:tmpl w:val="D5DE5FD8"/>
    <w:lvl w:ilvl="0" w:tplc="558662B4">
      <w:start w:val="1"/>
      <w:numFmt w:val="decimal"/>
      <w:pStyle w:val="Ttulo1"/>
      <w:lvlText w:val="%1)"/>
      <w:lvlJc w:val="left"/>
      <w:pPr>
        <w:ind w:left="606" w:hanging="360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205E34A0">
      <w:numFmt w:val="bullet"/>
      <w:lvlText w:val="•"/>
      <w:lvlJc w:val="left"/>
      <w:pPr>
        <w:ind w:left="1569" w:hanging="360"/>
      </w:pPr>
      <w:rPr>
        <w:rFonts w:hint="default"/>
        <w:lang w:val="es-ES" w:eastAsia="en-US" w:bidi="ar-SA"/>
      </w:rPr>
    </w:lvl>
    <w:lvl w:ilvl="2" w:tplc="3FA86412">
      <w:numFmt w:val="bullet"/>
      <w:lvlText w:val="•"/>
      <w:lvlJc w:val="left"/>
      <w:pPr>
        <w:ind w:left="2539" w:hanging="360"/>
      </w:pPr>
      <w:rPr>
        <w:rFonts w:hint="default"/>
        <w:lang w:val="es-ES" w:eastAsia="en-US" w:bidi="ar-SA"/>
      </w:rPr>
    </w:lvl>
    <w:lvl w:ilvl="3" w:tplc="6D14FF02">
      <w:numFmt w:val="bullet"/>
      <w:lvlText w:val="•"/>
      <w:lvlJc w:val="left"/>
      <w:pPr>
        <w:ind w:left="3509" w:hanging="360"/>
      </w:pPr>
      <w:rPr>
        <w:rFonts w:hint="default"/>
        <w:lang w:val="es-ES" w:eastAsia="en-US" w:bidi="ar-SA"/>
      </w:rPr>
    </w:lvl>
    <w:lvl w:ilvl="4" w:tplc="A06486E4">
      <w:numFmt w:val="bullet"/>
      <w:lvlText w:val="•"/>
      <w:lvlJc w:val="left"/>
      <w:pPr>
        <w:ind w:left="4479" w:hanging="360"/>
      </w:pPr>
      <w:rPr>
        <w:rFonts w:hint="default"/>
        <w:lang w:val="es-ES" w:eastAsia="en-US" w:bidi="ar-SA"/>
      </w:rPr>
    </w:lvl>
    <w:lvl w:ilvl="5" w:tplc="5D0E7BAC">
      <w:numFmt w:val="bullet"/>
      <w:lvlText w:val="•"/>
      <w:lvlJc w:val="left"/>
      <w:pPr>
        <w:ind w:left="5449" w:hanging="360"/>
      </w:pPr>
      <w:rPr>
        <w:rFonts w:hint="default"/>
        <w:lang w:val="es-ES" w:eastAsia="en-US" w:bidi="ar-SA"/>
      </w:rPr>
    </w:lvl>
    <w:lvl w:ilvl="6" w:tplc="D586FFC8">
      <w:numFmt w:val="bullet"/>
      <w:lvlText w:val="•"/>
      <w:lvlJc w:val="left"/>
      <w:pPr>
        <w:ind w:left="6419" w:hanging="360"/>
      </w:pPr>
      <w:rPr>
        <w:rFonts w:hint="default"/>
        <w:lang w:val="es-ES" w:eastAsia="en-US" w:bidi="ar-SA"/>
      </w:rPr>
    </w:lvl>
    <w:lvl w:ilvl="7" w:tplc="41667832">
      <w:numFmt w:val="bullet"/>
      <w:lvlText w:val="•"/>
      <w:lvlJc w:val="left"/>
      <w:pPr>
        <w:ind w:left="7389" w:hanging="360"/>
      </w:pPr>
      <w:rPr>
        <w:rFonts w:hint="default"/>
        <w:lang w:val="es-ES" w:eastAsia="en-US" w:bidi="ar-SA"/>
      </w:rPr>
    </w:lvl>
    <w:lvl w:ilvl="8" w:tplc="81923E02">
      <w:numFmt w:val="bullet"/>
      <w:lvlText w:val="•"/>
      <w:lvlJc w:val="left"/>
      <w:pPr>
        <w:ind w:left="835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DD202B0"/>
    <w:multiLevelType w:val="hybridMultilevel"/>
    <w:tmpl w:val="46C8FB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C18F5"/>
    <w:multiLevelType w:val="hybridMultilevel"/>
    <w:tmpl w:val="84E6D4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322262">
    <w:abstractNumId w:val="1"/>
  </w:num>
  <w:num w:numId="2" w16cid:durableId="822965066">
    <w:abstractNumId w:val="1"/>
  </w:num>
  <w:num w:numId="3" w16cid:durableId="1753165006">
    <w:abstractNumId w:val="1"/>
  </w:num>
  <w:num w:numId="4" w16cid:durableId="882328648">
    <w:abstractNumId w:val="3"/>
  </w:num>
  <w:num w:numId="5" w16cid:durableId="783309477">
    <w:abstractNumId w:val="2"/>
  </w:num>
  <w:num w:numId="6" w16cid:durableId="807403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C3D"/>
    <w:rsid w:val="00001FBE"/>
    <w:rsid w:val="00005389"/>
    <w:rsid w:val="00053DA9"/>
    <w:rsid w:val="00055FB1"/>
    <w:rsid w:val="00062BE7"/>
    <w:rsid w:val="00065E46"/>
    <w:rsid w:val="00067531"/>
    <w:rsid w:val="000B2A7C"/>
    <w:rsid w:val="000B36B5"/>
    <w:rsid w:val="000C135C"/>
    <w:rsid w:val="000E0164"/>
    <w:rsid w:val="000E0F12"/>
    <w:rsid w:val="000E22C6"/>
    <w:rsid w:val="000E7831"/>
    <w:rsid w:val="000F745D"/>
    <w:rsid w:val="000F7DAE"/>
    <w:rsid w:val="0010117B"/>
    <w:rsid w:val="0010238C"/>
    <w:rsid w:val="00104F42"/>
    <w:rsid w:val="001106E2"/>
    <w:rsid w:val="0013031A"/>
    <w:rsid w:val="00142A7F"/>
    <w:rsid w:val="00152E82"/>
    <w:rsid w:val="00160D4B"/>
    <w:rsid w:val="0016781C"/>
    <w:rsid w:val="00174D85"/>
    <w:rsid w:val="0017596D"/>
    <w:rsid w:val="00177AB2"/>
    <w:rsid w:val="001A2BCF"/>
    <w:rsid w:val="001A5357"/>
    <w:rsid w:val="001B687E"/>
    <w:rsid w:val="001B7CB8"/>
    <w:rsid w:val="001D2CDC"/>
    <w:rsid w:val="001F0872"/>
    <w:rsid w:val="00201CBF"/>
    <w:rsid w:val="0020306E"/>
    <w:rsid w:val="00211255"/>
    <w:rsid w:val="00217E95"/>
    <w:rsid w:val="0022113A"/>
    <w:rsid w:val="00226C36"/>
    <w:rsid w:val="00245034"/>
    <w:rsid w:val="00246AB6"/>
    <w:rsid w:val="00283AAC"/>
    <w:rsid w:val="0028420B"/>
    <w:rsid w:val="002A47D9"/>
    <w:rsid w:val="002B1FF1"/>
    <w:rsid w:val="002B3B22"/>
    <w:rsid w:val="002B61E3"/>
    <w:rsid w:val="002C30C7"/>
    <w:rsid w:val="002D4FBF"/>
    <w:rsid w:val="002E58BB"/>
    <w:rsid w:val="002E5E23"/>
    <w:rsid w:val="002E75C0"/>
    <w:rsid w:val="002F2466"/>
    <w:rsid w:val="002F444D"/>
    <w:rsid w:val="0030076B"/>
    <w:rsid w:val="003068AB"/>
    <w:rsid w:val="00315660"/>
    <w:rsid w:val="003250C1"/>
    <w:rsid w:val="003368D5"/>
    <w:rsid w:val="003556C6"/>
    <w:rsid w:val="00363C78"/>
    <w:rsid w:val="00365B11"/>
    <w:rsid w:val="00370A1C"/>
    <w:rsid w:val="00382260"/>
    <w:rsid w:val="003826B7"/>
    <w:rsid w:val="00390803"/>
    <w:rsid w:val="00396E32"/>
    <w:rsid w:val="00397116"/>
    <w:rsid w:val="003B0C82"/>
    <w:rsid w:val="003B25BA"/>
    <w:rsid w:val="003B550F"/>
    <w:rsid w:val="003C0FED"/>
    <w:rsid w:val="003C377F"/>
    <w:rsid w:val="003C44CA"/>
    <w:rsid w:val="003F7924"/>
    <w:rsid w:val="004063FF"/>
    <w:rsid w:val="004075AC"/>
    <w:rsid w:val="00415049"/>
    <w:rsid w:val="0041770A"/>
    <w:rsid w:val="00427FFB"/>
    <w:rsid w:val="00430781"/>
    <w:rsid w:val="0044663D"/>
    <w:rsid w:val="004543EB"/>
    <w:rsid w:val="00473AAF"/>
    <w:rsid w:val="00487AD1"/>
    <w:rsid w:val="00495756"/>
    <w:rsid w:val="004978D9"/>
    <w:rsid w:val="004A05A2"/>
    <w:rsid w:val="004A26C1"/>
    <w:rsid w:val="004A30FC"/>
    <w:rsid w:val="00505317"/>
    <w:rsid w:val="00520E8A"/>
    <w:rsid w:val="00535F28"/>
    <w:rsid w:val="00561D72"/>
    <w:rsid w:val="00571968"/>
    <w:rsid w:val="00572C4D"/>
    <w:rsid w:val="00573CED"/>
    <w:rsid w:val="0057726F"/>
    <w:rsid w:val="0058072F"/>
    <w:rsid w:val="005807BD"/>
    <w:rsid w:val="00583902"/>
    <w:rsid w:val="005937FA"/>
    <w:rsid w:val="005C3CE3"/>
    <w:rsid w:val="005C50E0"/>
    <w:rsid w:val="005E718D"/>
    <w:rsid w:val="006050CE"/>
    <w:rsid w:val="00613425"/>
    <w:rsid w:val="006258B9"/>
    <w:rsid w:val="00626F3B"/>
    <w:rsid w:val="00641911"/>
    <w:rsid w:val="006537B6"/>
    <w:rsid w:val="00653B04"/>
    <w:rsid w:val="00661E53"/>
    <w:rsid w:val="00663160"/>
    <w:rsid w:val="006672E0"/>
    <w:rsid w:val="006723EE"/>
    <w:rsid w:val="00673347"/>
    <w:rsid w:val="00673A03"/>
    <w:rsid w:val="00674231"/>
    <w:rsid w:val="0067532B"/>
    <w:rsid w:val="006762CF"/>
    <w:rsid w:val="00682C0F"/>
    <w:rsid w:val="006831AF"/>
    <w:rsid w:val="00691BC0"/>
    <w:rsid w:val="006961C8"/>
    <w:rsid w:val="006A38B5"/>
    <w:rsid w:val="006B04C1"/>
    <w:rsid w:val="006B6B86"/>
    <w:rsid w:val="006D5EFA"/>
    <w:rsid w:val="006F1CD7"/>
    <w:rsid w:val="007144D5"/>
    <w:rsid w:val="0072445B"/>
    <w:rsid w:val="00735D38"/>
    <w:rsid w:val="0073666B"/>
    <w:rsid w:val="007A1874"/>
    <w:rsid w:val="007B7936"/>
    <w:rsid w:val="007C095C"/>
    <w:rsid w:val="007E6335"/>
    <w:rsid w:val="007E645C"/>
    <w:rsid w:val="008037DE"/>
    <w:rsid w:val="00835931"/>
    <w:rsid w:val="00854E75"/>
    <w:rsid w:val="008554D2"/>
    <w:rsid w:val="008620C8"/>
    <w:rsid w:val="00864A83"/>
    <w:rsid w:val="008777FD"/>
    <w:rsid w:val="0089695D"/>
    <w:rsid w:val="008A519B"/>
    <w:rsid w:val="008A750D"/>
    <w:rsid w:val="009149F0"/>
    <w:rsid w:val="00914D6D"/>
    <w:rsid w:val="009158DB"/>
    <w:rsid w:val="0092148B"/>
    <w:rsid w:val="009214BC"/>
    <w:rsid w:val="009243BF"/>
    <w:rsid w:val="00941D58"/>
    <w:rsid w:val="00946CFD"/>
    <w:rsid w:val="009500AA"/>
    <w:rsid w:val="009549E0"/>
    <w:rsid w:val="009840F8"/>
    <w:rsid w:val="00996745"/>
    <w:rsid w:val="009A463C"/>
    <w:rsid w:val="009B0497"/>
    <w:rsid w:val="009B3BAF"/>
    <w:rsid w:val="009B64CA"/>
    <w:rsid w:val="009C2C85"/>
    <w:rsid w:val="009D4186"/>
    <w:rsid w:val="009D7D77"/>
    <w:rsid w:val="009E5D5D"/>
    <w:rsid w:val="009F2461"/>
    <w:rsid w:val="009F433E"/>
    <w:rsid w:val="00A03C9A"/>
    <w:rsid w:val="00A131F9"/>
    <w:rsid w:val="00A132CE"/>
    <w:rsid w:val="00A2201A"/>
    <w:rsid w:val="00A30D03"/>
    <w:rsid w:val="00A34D03"/>
    <w:rsid w:val="00A40266"/>
    <w:rsid w:val="00A529CE"/>
    <w:rsid w:val="00A62320"/>
    <w:rsid w:val="00A63A23"/>
    <w:rsid w:val="00A90509"/>
    <w:rsid w:val="00A9501C"/>
    <w:rsid w:val="00AA08CC"/>
    <w:rsid w:val="00AA4D03"/>
    <w:rsid w:val="00AC4BB1"/>
    <w:rsid w:val="00AE14C2"/>
    <w:rsid w:val="00AE7BEC"/>
    <w:rsid w:val="00B0481F"/>
    <w:rsid w:val="00B05651"/>
    <w:rsid w:val="00B23AE7"/>
    <w:rsid w:val="00B27EF6"/>
    <w:rsid w:val="00B307CD"/>
    <w:rsid w:val="00B338E4"/>
    <w:rsid w:val="00B54F9E"/>
    <w:rsid w:val="00B56D8A"/>
    <w:rsid w:val="00B57C38"/>
    <w:rsid w:val="00B743F4"/>
    <w:rsid w:val="00B75F9F"/>
    <w:rsid w:val="00B82959"/>
    <w:rsid w:val="00B84352"/>
    <w:rsid w:val="00BB2DA0"/>
    <w:rsid w:val="00BD2898"/>
    <w:rsid w:val="00BD3993"/>
    <w:rsid w:val="00BD6354"/>
    <w:rsid w:val="00BE194B"/>
    <w:rsid w:val="00BF3DD7"/>
    <w:rsid w:val="00C01187"/>
    <w:rsid w:val="00C021DB"/>
    <w:rsid w:val="00C02291"/>
    <w:rsid w:val="00C15E90"/>
    <w:rsid w:val="00C17E1E"/>
    <w:rsid w:val="00C35CA4"/>
    <w:rsid w:val="00C60EF9"/>
    <w:rsid w:val="00C61DB9"/>
    <w:rsid w:val="00C7438C"/>
    <w:rsid w:val="00C92D6D"/>
    <w:rsid w:val="00CA01BB"/>
    <w:rsid w:val="00CB3C9A"/>
    <w:rsid w:val="00CC1C3D"/>
    <w:rsid w:val="00CC5A18"/>
    <w:rsid w:val="00CC78DB"/>
    <w:rsid w:val="00CD451C"/>
    <w:rsid w:val="00CD6354"/>
    <w:rsid w:val="00CD70F0"/>
    <w:rsid w:val="00CE5037"/>
    <w:rsid w:val="00CF195A"/>
    <w:rsid w:val="00CF7164"/>
    <w:rsid w:val="00D147B4"/>
    <w:rsid w:val="00D1591D"/>
    <w:rsid w:val="00D20AA9"/>
    <w:rsid w:val="00D51902"/>
    <w:rsid w:val="00D51ACB"/>
    <w:rsid w:val="00D570D9"/>
    <w:rsid w:val="00D63A8F"/>
    <w:rsid w:val="00D7695E"/>
    <w:rsid w:val="00D90BDC"/>
    <w:rsid w:val="00D96636"/>
    <w:rsid w:val="00DA30EF"/>
    <w:rsid w:val="00DA75CE"/>
    <w:rsid w:val="00DB3E3A"/>
    <w:rsid w:val="00DB5C3C"/>
    <w:rsid w:val="00DB79E8"/>
    <w:rsid w:val="00DF3E71"/>
    <w:rsid w:val="00E01117"/>
    <w:rsid w:val="00E04D90"/>
    <w:rsid w:val="00E1623B"/>
    <w:rsid w:val="00E37710"/>
    <w:rsid w:val="00E57243"/>
    <w:rsid w:val="00E8271E"/>
    <w:rsid w:val="00E873C3"/>
    <w:rsid w:val="00E87B8F"/>
    <w:rsid w:val="00E92CFA"/>
    <w:rsid w:val="00EA4F46"/>
    <w:rsid w:val="00EB149C"/>
    <w:rsid w:val="00EB3287"/>
    <w:rsid w:val="00EB3755"/>
    <w:rsid w:val="00EC0BBC"/>
    <w:rsid w:val="00EC1621"/>
    <w:rsid w:val="00EC22BF"/>
    <w:rsid w:val="00EC5DC7"/>
    <w:rsid w:val="00ED431D"/>
    <w:rsid w:val="00ED6446"/>
    <w:rsid w:val="00F06DCD"/>
    <w:rsid w:val="00F137F8"/>
    <w:rsid w:val="00F378ED"/>
    <w:rsid w:val="00F54CE2"/>
    <w:rsid w:val="00F5666D"/>
    <w:rsid w:val="00F63BA4"/>
    <w:rsid w:val="00F64A15"/>
    <w:rsid w:val="00F801DE"/>
    <w:rsid w:val="00F8224C"/>
    <w:rsid w:val="00F95D2F"/>
    <w:rsid w:val="00FB0BEE"/>
    <w:rsid w:val="00FB5008"/>
    <w:rsid w:val="00FB7B6E"/>
    <w:rsid w:val="00FE3877"/>
    <w:rsid w:val="00FF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ABC69"/>
  <w15:docId w15:val="{473D376C-77E1-49F8-AD82-41F9BC71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F378ED"/>
    <w:pPr>
      <w:numPr>
        <w:numId w:val="1"/>
      </w:numPr>
      <w:spacing w:before="240" w:after="240"/>
      <w:jc w:val="both"/>
      <w:outlineLvl w:val="0"/>
    </w:pPr>
    <w:rPr>
      <w:rFonts w:ascii="Arial" w:hAnsi="Arial" w:cs="Arial"/>
      <w:b/>
      <w:bCs/>
      <w:u w:val="thick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2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529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17E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E1E"/>
  </w:style>
  <w:style w:type="paragraph" w:styleId="Piedepgina">
    <w:name w:val="footer"/>
    <w:basedOn w:val="Normal"/>
    <w:link w:val="PiedepginaCar"/>
    <w:uiPriority w:val="99"/>
    <w:unhideWhenUsed/>
    <w:rsid w:val="00C17E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E1E"/>
  </w:style>
  <w:style w:type="character" w:styleId="Textodelmarcadordeposicin">
    <w:name w:val="Placeholder Text"/>
    <w:basedOn w:val="Fuentedeprrafopredeter"/>
    <w:uiPriority w:val="99"/>
    <w:semiHidden/>
    <w:rsid w:val="0017596D"/>
    <w:rPr>
      <w:color w:val="808080"/>
    </w:rPr>
  </w:style>
  <w:style w:type="character" w:customStyle="1" w:styleId="fontstyle01">
    <w:name w:val="fontstyle01"/>
    <w:basedOn w:val="Fuentedeprrafopredeter"/>
    <w:rsid w:val="00EB328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uentedeprrafopredeter"/>
    <w:rsid w:val="00EB328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Fuentedeprrafopredeter"/>
    <w:rsid w:val="00EB3287"/>
    <w:rPr>
      <w:rFonts w:ascii="Arial Narrow" w:hAnsi="Arial Narrow" w:hint="default"/>
      <w:b/>
      <w:bCs/>
      <w:i w:val="0"/>
      <w:iCs w:val="0"/>
      <w:color w:val="FFFFFF"/>
      <w:sz w:val="20"/>
      <w:szCs w:val="20"/>
    </w:rPr>
  </w:style>
  <w:style w:type="character" w:customStyle="1" w:styleId="fontstyle41">
    <w:name w:val="fontstyle41"/>
    <w:basedOn w:val="Fuentedeprrafopredeter"/>
    <w:rsid w:val="00EB3287"/>
    <w:rPr>
      <w:rFonts w:ascii="Arial Narrow" w:hAnsi="Arial Narrow" w:hint="default"/>
      <w:b w:val="0"/>
      <w:bCs w:val="0"/>
      <w:i w:val="0"/>
      <w:iCs w:val="0"/>
      <w:color w:val="000000"/>
      <w:sz w:val="18"/>
      <w:szCs w:val="18"/>
    </w:rPr>
  </w:style>
  <w:style w:type="table" w:styleId="Tablaconcuadrcula">
    <w:name w:val="Table Grid"/>
    <w:basedOn w:val="Tablanormal"/>
    <w:uiPriority w:val="59"/>
    <w:unhideWhenUsed/>
    <w:rsid w:val="00110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">
    <w:name w:val="Quote"/>
    <w:basedOn w:val="Normal"/>
    <w:next w:val="Normal"/>
    <w:link w:val="CitaCar"/>
    <w:uiPriority w:val="29"/>
    <w:qFormat/>
    <w:rsid w:val="0058390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83902"/>
    <w:rPr>
      <w:i/>
      <w:iCs/>
      <w:color w:val="404040" w:themeColor="text1" w:themeTint="BF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F378ED"/>
    <w:rPr>
      <w:rFonts w:ascii="Arial" w:hAnsi="Arial" w:cs="Arial"/>
      <w:b/>
      <w:bCs/>
      <w:sz w:val="22"/>
      <w:szCs w:val="22"/>
      <w:u w:val="thick"/>
      <w:lang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CC1C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C1C3D"/>
    <w:rPr>
      <w:rFonts w:ascii="Arial" w:eastAsia="Arial" w:hAnsi="Arial" w:cs="Arial"/>
      <w:sz w:val="22"/>
      <w:szCs w:val="22"/>
      <w:lang w:eastAsia="en-US"/>
    </w:rPr>
  </w:style>
  <w:style w:type="paragraph" w:styleId="Ttulo">
    <w:name w:val="Title"/>
    <w:basedOn w:val="Normal"/>
    <w:link w:val="TtuloCar"/>
    <w:uiPriority w:val="10"/>
    <w:qFormat/>
    <w:rsid w:val="00CC1C3D"/>
    <w:pPr>
      <w:widowControl w:val="0"/>
      <w:autoSpaceDE w:val="0"/>
      <w:autoSpaceDN w:val="0"/>
      <w:spacing w:before="15" w:after="0" w:line="240" w:lineRule="auto"/>
      <w:ind w:left="199" w:right="19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ar">
    <w:name w:val="Título Car"/>
    <w:basedOn w:val="Fuentedeprrafopredeter"/>
    <w:link w:val="Ttulo"/>
    <w:uiPriority w:val="10"/>
    <w:rsid w:val="00CC1C3D"/>
    <w:rPr>
      <w:rFonts w:ascii="Arial" w:eastAsia="Arial" w:hAnsi="Arial" w:cs="Arial"/>
      <w:b/>
      <w:bCs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CC1C3D"/>
    <w:pPr>
      <w:widowControl w:val="0"/>
      <w:autoSpaceDE w:val="0"/>
      <w:autoSpaceDN w:val="0"/>
      <w:spacing w:after="0" w:line="240" w:lineRule="auto"/>
      <w:ind w:left="606" w:right="502" w:hanging="360"/>
    </w:pPr>
    <w:rPr>
      <w:rFonts w:ascii="Arial" w:eastAsia="Arial" w:hAnsi="Arial" w:cs="Arial"/>
      <w:u w:val="single" w:color="000000"/>
    </w:rPr>
  </w:style>
  <w:style w:type="paragraph" w:customStyle="1" w:styleId="TableParagraph">
    <w:name w:val="Table Paragraph"/>
    <w:basedOn w:val="Normal"/>
    <w:uiPriority w:val="1"/>
    <w:qFormat/>
    <w:rsid w:val="00CC1C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AA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08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08C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08CC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5C50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C50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C50E0"/>
    <w:rPr>
      <w:color w:val="800080" w:themeColor="followedHyperlink"/>
      <w:u w:val="single"/>
    </w:rPr>
  </w:style>
  <w:style w:type="paragraph" w:customStyle="1" w:styleId="TextoNormal">
    <w:name w:val="Texto Normal"/>
    <w:basedOn w:val="Normal"/>
    <w:qFormat/>
    <w:rsid w:val="00F54CE2"/>
    <w:pPr>
      <w:spacing w:after="0" w:line="360" w:lineRule="auto"/>
      <w:jc w:val="both"/>
    </w:pPr>
    <w:rPr>
      <w:rFonts w:ascii="Arial" w:eastAsiaTheme="minorHAnsi" w:hAnsi="Arial" w:cs="Times New Roman (Cuerpo en alfa"/>
      <w:bCs/>
      <w:sz w:val="20"/>
      <w:szCs w:val="20"/>
    </w:rPr>
  </w:style>
  <w:style w:type="paragraph" w:customStyle="1" w:styleId="NombreDepartamento">
    <w:name w:val="Nombre Departamento"/>
    <w:basedOn w:val="Normal"/>
    <w:qFormat/>
    <w:rsid w:val="00F54CE2"/>
    <w:pPr>
      <w:spacing w:after="0" w:line="240" w:lineRule="auto"/>
      <w:jc w:val="center"/>
    </w:pPr>
    <w:rPr>
      <w:rFonts w:ascii="Arial" w:eastAsiaTheme="minorHAnsi" w:hAnsi="Arial" w:cs="Times New Roman (Cuerpo en alfa"/>
      <w:b/>
      <w:color w:val="002E5D"/>
      <w:sz w:val="16"/>
      <w:szCs w:val="24"/>
    </w:rPr>
  </w:style>
  <w:style w:type="paragraph" w:styleId="Revisin">
    <w:name w:val="Revision"/>
    <w:hidden/>
    <w:uiPriority w:val="99"/>
    <w:semiHidden/>
    <w:rsid w:val="006672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ocha\OneDrive%20-%20Tribunal%20de%20Cuentas\Oposicion\5%20Calendario%20orientativo\Plantilla%20Calendar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6C0A2-B376-4247-B5E7-AE2D7E8E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Calendario.dotx</Template>
  <TotalTime>23</TotalTime>
  <Pages>2</Pages>
  <Words>342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Tribunal de Cuentas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Rocha Bonilla, Jose Manuel de la</dc:creator>
  <cp:lastModifiedBy>Gomez-Lozano Gonzalez, Barbara</cp:lastModifiedBy>
  <cp:revision>3</cp:revision>
  <cp:lastPrinted>2024-06-04T13:30:00Z</cp:lastPrinted>
  <dcterms:created xsi:type="dcterms:W3CDTF">2024-05-31T11:36:00Z</dcterms:created>
  <dcterms:modified xsi:type="dcterms:W3CDTF">2024-06-04T13:53:00Z</dcterms:modified>
</cp:coreProperties>
</file>